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Rozhodnutí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4">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 </w:t>
      </w:r>
      <w:r w:rsidDel="00000000" w:rsidR="00000000" w:rsidRPr="00000000">
        <w:rPr>
          <w:rFonts w:ascii="Calibri" w:cs="Calibri" w:eastAsia="Calibri" w:hAnsi="Calibri"/>
          <w:b w:val="1"/>
          <w:bCs w:val="1"/>
          <w:rtl w:val="0"/>
        </w:rPr>
        <w:t xml:space="preserve">TA ČR</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jako poskytovatel účelové podpory (dále jen „poskytovatel“),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vydává níže uvedeného dne, měsíce a roku podle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„ZPVV“), toto</w:t>
      </w:r>
    </w:p>
    <w:p w:rsidR="00000000" w:rsidDel="00000000" w:rsidP="00000000" w:rsidRDefault="00000000" w:rsidRPr="00000000" w14:paraId="0000000B">
      <w:pPr>
        <w:spacing w:befor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highlight w:val="yellow"/>
        </w:rPr>
      </w:pPr>
      <w:r w:rsidDel="00000000" w:rsidR="00000000" w:rsidRPr="00000000">
        <w:rPr>
          <w:rFonts w:ascii="Calibri" w:cs="Calibri" w:eastAsia="Calibri" w:hAnsi="Calibri"/>
          <w:b w:val="1"/>
          <w:bCs w:val="1"/>
          <w:rtl w:val="0"/>
        </w:rPr>
        <w:t xml:space="preserve">Rozhodnutí o poskytnutí účelové podpory z výdajů státního rozpočtu na výzkum, vývoj a inovace na řešení části programového projektu č. </w:t>
      </w:r>
      <w:r w:rsidDel="00000000" w:rsidR="00000000" w:rsidRPr="00000000">
        <w:rPr>
          <w:rFonts w:ascii="Calibri" w:cs="Calibri" w:eastAsia="Calibri" w:hAnsi="Calibri"/>
          <w:b w:val="1"/>
          <w:bCs w:val="1"/>
          <w:highlight w:val="yellow"/>
          <w:rtl w:val="0"/>
        </w:rPr>
        <w:t xml:space="preserve">XXXX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(dále jen „Rozhodnutí“)</w:t>
      </w:r>
    </w:p>
    <w:p w:rsidR="00000000" w:rsidDel="00000000" w:rsidP="00000000" w:rsidRDefault="00000000" w:rsidRPr="00000000" w14:paraId="0000000E">
      <w:pP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[organizaci]</w:t>
      </w:r>
      <w:r w:rsidDel="00000000" w:rsidR="00000000" w:rsidRPr="00000000">
        <w:rPr>
          <w:rtl w:val="0"/>
        </w:rPr>
      </w:r>
    </w:p>
    <w:p w:rsidR="00000000" w:rsidDel="00000000" w:rsidP="00000000" w:rsidRDefault="00000000" w:rsidRPr="00000000" w14:paraId="0000000F">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sídlem XXXXXXXX</w:t>
      </w:r>
    </w:p>
    <w:p w:rsidR="00000000" w:rsidDel="00000000" w:rsidP="00000000" w:rsidRDefault="00000000" w:rsidRPr="00000000" w14:paraId="00000010">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IČO: XXXXXXXX, DIČ: </w:t>
      </w:r>
      <w:r w:rsidDel="00000000" w:rsidR="00000000" w:rsidRPr="00000000">
        <w:rPr>
          <w:rFonts w:ascii="Calibri" w:cs="Calibri" w:eastAsia="Calibri" w:hAnsi="Calibri"/>
          <w:b w:val="1"/>
          <w:bCs w:val="1"/>
          <w:highlight w:val="yellow"/>
          <w:rtl w:val="0"/>
        </w:rPr>
        <w:t xml:space="preserve">XXXXXXXXXX</w:t>
      </w:r>
      <w:r w:rsidDel="00000000" w:rsidR="00000000" w:rsidRPr="00000000">
        <w:rPr>
          <w:rtl w:val="0"/>
        </w:rPr>
      </w:r>
    </w:p>
    <w:p w:rsidR="00000000" w:rsidDel="00000000" w:rsidP="00000000" w:rsidRDefault="00000000" w:rsidRPr="00000000" w14:paraId="00000011">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zastoupená: XXXXXXXX </w:t>
      </w:r>
    </w:p>
    <w:p w:rsidR="00000000" w:rsidDel="00000000" w:rsidP="00000000" w:rsidRDefault="00000000" w:rsidRPr="00000000" w14:paraId="00000012">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kontaktní osoba: XXXXXXXX</w:t>
      </w:r>
      <w:r w:rsidDel="00000000" w:rsidR="00000000" w:rsidRPr="00000000">
        <w:rPr>
          <w:rFonts w:ascii="Calibri" w:cs="Calibri" w:eastAsia="Calibri" w:hAnsi="Calibri"/>
          <w:b w:val="1"/>
          <w:bCs w:val="1"/>
          <w:highlight w:val="yellow"/>
          <w:rtl w:val="0"/>
        </w:rPr>
        <w:t xml:space="preserve">, řešitel</w:t>
      </w:r>
      <w:r w:rsidDel="00000000" w:rsidR="00000000" w:rsidRPr="00000000">
        <w:rPr>
          <w:rtl w:val="0"/>
        </w:rPr>
      </w:r>
    </w:p>
    <w:p w:rsidR="00000000" w:rsidDel="00000000" w:rsidP="00000000" w:rsidRDefault="00000000" w:rsidRPr="00000000" w14:paraId="00000013">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bankovní spojení: XXXXXXXX</w:t>
      </w:r>
      <w:r w:rsidDel="00000000" w:rsidR="00000000" w:rsidRPr="00000000">
        <w:rPr>
          <w:rFonts w:ascii="Calibri" w:cs="Calibri" w:eastAsia="Calibri" w:hAnsi="Calibri"/>
          <w:b w:val="1"/>
          <w:bCs w:val="1"/>
          <w:highlight w:val="yellow"/>
          <w:rtl w:val="0"/>
        </w:rPr>
        <w:t xml:space="preserve"> - </w:t>
      </w:r>
      <w:r w:rsidDel="00000000" w:rsidR="00000000" w:rsidRPr="00000000">
        <w:rPr>
          <w:rFonts w:ascii="Calibri" w:cs="Calibri" w:eastAsia="Calibri" w:hAnsi="Calibri"/>
          <w:highlight w:val="yellow"/>
          <w:rtl w:val="0"/>
        </w:rPr>
        <w:t xml:space="preserve">XXXXXXXX</w:t>
      </w:r>
    </w:p>
    <w:p w:rsidR="00000000" w:rsidDel="00000000" w:rsidP="00000000" w:rsidRDefault="00000000" w:rsidRPr="00000000" w14:paraId="00000014">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číslo účtu: XXXXXXXX</w:t>
      </w:r>
    </w:p>
    <w:p w:rsidR="00000000" w:rsidDel="00000000" w:rsidP="00000000" w:rsidRDefault="00000000" w:rsidRPr="00000000" w14:paraId="00000015">
      <w:pPr>
        <w:spacing w:before="0" w:lineRule="auto"/>
        <w:rPr>
          <w:rFonts w:ascii="Calibri" w:cs="Calibri" w:eastAsia="Calibri" w:hAnsi="Calibri"/>
        </w:rPr>
      </w:pPr>
      <w:r w:rsidDel="00000000" w:rsidR="00000000" w:rsidRPr="00000000">
        <w:rPr>
          <w:rFonts w:ascii="Calibri" w:cs="Calibri" w:eastAsia="Calibri" w:hAnsi="Calibri"/>
          <w:rtl w:val="0"/>
        </w:rPr>
        <w:t xml:space="preserve">jako hlavnímu příjemci / dalšímu účastníku projektu (dále jen „příjemce“)</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7">
      <w:pPr>
        <w:spacing w:after="60" w:lineRule="auto"/>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vyhlášené konsorciem poskytovatelů v ERA-NET Cofundu / Evropském partnerství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přičemž hlavní příjemce bude financován z následujícího programu: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V souladu s § 9 ZPVV proto poskytovatel vydává toto Rozhodnutí. Veškeré pojmy použité v Rozhodnutí definujeme ve Všeobecných podmínkách.</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Rozhodnutí</w:t>
      </w:r>
      <w:r w:rsidDel="00000000" w:rsidR="00000000" w:rsidRPr="00000000">
        <w:rPr>
          <w:rtl w:val="0"/>
        </w:rPr>
      </w:r>
    </w:p>
    <w:p w:rsidR="00000000" w:rsidDel="00000000" w:rsidP="00000000" w:rsidRDefault="00000000" w:rsidRPr="00000000" w14:paraId="0000001A">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Předmětem Rozhodnutí je poskytnutí účelové podpory příjemci za účelem jejího využití na dosažení deklarovaných výsledků a cílů projektu a současně povinnost příjemce použít tuto podporu a řešit projekt v souladu s pravidly poskytnutí podpory a přílohou Závazné parametry řešení projektu. </w:t>
      </w:r>
      <w:r w:rsidDel="00000000" w:rsidR="00000000" w:rsidRPr="00000000">
        <w:rPr>
          <w:rtl w:val="0"/>
        </w:rPr>
      </w:r>
    </w:p>
    <w:p w:rsidR="00000000" w:rsidDel="00000000" w:rsidP="00000000" w:rsidRDefault="00000000" w:rsidRPr="00000000" w14:paraId="0000001B">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C">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Podporu poskytneme formou zvýšení výdajů organizační složky státu, která je příjemcem, ve smyslu § 4 odst. 1 ZPVV</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D">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1F">
      <w:pPr>
        <w:numPr>
          <w:ilvl w:val="0"/>
          <w:numId w:val="5"/>
        </w:numPr>
        <w:ind w:left="360" w:hanging="360"/>
        <w:rPr/>
      </w:pPr>
      <w:r w:rsidDel="00000000" w:rsidR="00000000" w:rsidRPr="00000000">
        <w:rPr>
          <w:rFonts w:ascii="Calibri" w:cs="Calibri" w:eastAsia="Calibri" w:hAnsi="Calibri"/>
          <w:rtl w:val="0"/>
        </w:rPr>
        <w:t xml:space="preserve">Maximální výše podpory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 což je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 z maximální výše uznaných nákladů.</w:t>
      </w:r>
      <w:r w:rsidDel="00000000" w:rsidR="00000000" w:rsidRPr="00000000">
        <w:rPr>
          <w:rtl w:val="0"/>
        </w:rPr>
      </w:r>
    </w:p>
    <w:p w:rsidR="00000000" w:rsidDel="00000000" w:rsidP="00000000" w:rsidRDefault="00000000" w:rsidRPr="00000000" w14:paraId="00000020">
      <w:pPr>
        <w:numPr>
          <w:ilvl w:val="0"/>
          <w:numId w:val="5"/>
        </w:numPr>
        <w:ind w:left="360" w:hanging="360"/>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w:t>
      </w:r>
      <w:r w:rsidDel="00000000" w:rsidR="00000000" w:rsidRPr="00000000">
        <w:rPr>
          <w:rtl w:val="0"/>
        </w:rPr>
      </w:r>
    </w:p>
    <w:p w:rsidR="00000000" w:rsidDel="00000000" w:rsidP="00000000" w:rsidRDefault="00000000" w:rsidRPr="00000000" w14:paraId="00000021">
      <w:pPr>
        <w:numPr>
          <w:ilvl w:val="0"/>
          <w:numId w:val="5"/>
        </w:numPr>
        <w:ind w:left="360" w:hanging="360"/>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 uznaných nákladů projektu.</w:t>
      </w:r>
      <w:r w:rsidDel="00000000" w:rsidR="00000000" w:rsidRPr="00000000">
        <w:rPr>
          <w:rtl w:val="0"/>
        </w:rPr>
      </w:r>
    </w:p>
    <w:p w:rsidR="00000000" w:rsidDel="00000000" w:rsidP="00000000" w:rsidRDefault="00000000" w:rsidRPr="00000000" w14:paraId="00000022">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podpory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3">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uznaných nákladů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2"/>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Fonts w:ascii="Calibri" w:cs="Calibri" w:eastAsia="Calibri" w:hAnsi="Calibri"/>
          <w:color w:val="222222"/>
          <w:rtl w:val="0"/>
        </w:rPr>
        <w:t xml:space="preserve">.</w:t>
      </w:r>
      <w:r w:rsidDel="00000000" w:rsidR="00000000" w:rsidRPr="00000000">
        <w:rPr>
          <w:rtl w:val="0"/>
        </w:rPr>
      </w:r>
    </w:p>
    <w:p w:rsidR="00000000" w:rsidDel="00000000" w:rsidP="00000000" w:rsidRDefault="00000000" w:rsidRPr="00000000" w14:paraId="00000028">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Obsahuje-li Rozhodnutí úpravu odlišnou od Všeobecných podmínek či Závazných parametrů řešení projektu, použijeme přednostně ustanovení Rozhodnutí,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nidksuob350" w:id="0"/>
    <w:bookmarkEnd w:id="0"/>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425" w:right="-182" w:hanging="425"/>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4"/>
        </w:numPr>
        <w:spacing w:after="120" w:lineRule="auto"/>
        <w:ind w:left="425" w:hanging="425"/>
        <w:rPr/>
      </w:pPr>
      <w:r w:rsidDel="00000000" w:rsidR="00000000" w:rsidRPr="00000000">
        <w:rPr>
          <w:rFonts w:ascii="Calibri" w:cs="Calibri" w:eastAsia="Calibri" w:hAnsi="Calibri"/>
          <w:rtl w:val="0"/>
        </w:rPr>
        <w:t xml:space="preserve">Článek 2 Všeobecných podmínek „Vymezení pojmů” se doplňuje o tyto pojmy: </w:t>
      </w:r>
      <w:r w:rsidDel="00000000" w:rsidR="00000000" w:rsidRPr="00000000">
        <w:rPr>
          <w:rtl w:val="0"/>
        </w:rPr>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4"/>
        </w:numPr>
        <w:spacing w:after="240" w:before="240" w:lineRule="auto"/>
        <w:ind w:left="425" w:hanging="425"/>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uchazeč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4"/>
        </w:numPr>
        <w:ind w:left="425" w:hanging="425"/>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r w:rsidDel="00000000" w:rsidR="00000000" w:rsidRPr="00000000">
        <w:rPr>
          <w:rtl w:val="0"/>
        </w:rPr>
      </w:r>
    </w:p>
    <w:p w:rsidR="00000000" w:rsidDel="00000000" w:rsidP="00000000" w:rsidRDefault="00000000" w:rsidRPr="00000000" w14:paraId="00000030">
      <w:pPr>
        <w:numPr>
          <w:ilvl w:val="0"/>
          <w:numId w:val="4"/>
        </w:numPr>
        <w:spacing w:line="240" w:lineRule="auto"/>
        <w:ind w:left="425" w:hanging="425"/>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numPr>
          <w:ilvl w:val="0"/>
          <w:numId w:val="4"/>
        </w:numPr>
        <w:ind w:left="425" w:hanging="425"/>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6">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J, N a Vsouhrn, bez ohledu na to, zda vzniknou jako výsledky plánované či nad rámec. Výstup/výsledek a data musí být opatřeny perzistentním identifikátorem.</w:t>
      </w:r>
      <w:r w:rsidDel="00000000" w:rsidR="00000000" w:rsidRPr="00000000">
        <w:rPr>
          <w:rtl w:val="0"/>
        </w:rPr>
      </w:r>
    </w:p>
    <w:p w:rsidR="00000000" w:rsidDel="00000000" w:rsidP="00000000" w:rsidRDefault="00000000" w:rsidRPr="00000000" w14:paraId="00000037">
      <w:pPr>
        <w:numPr>
          <w:ilvl w:val="0"/>
          <w:numId w:val="4"/>
        </w:numPr>
        <w:spacing w:line="276" w:lineRule="auto"/>
        <w:ind w:left="425" w:right="566" w:hanging="425"/>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r w:rsidDel="00000000" w:rsidR="00000000" w:rsidRPr="00000000">
        <w:rPr>
          <w:rtl w:val="0"/>
        </w:rPr>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4"/>
        </w:numPr>
        <w:ind w:left="425" w:right="566" w:hanging="425"/>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numPr>
          <w:ilvl w:val="0"/>
          <w:numId w:val="4"/>
        </w:numPr>
        <w:ind w:left="425" w:right="566" w:hanging="425"/>
        <w:rPr>
          <w:highlight w:val="yellow"/>
        </w:rPr>
      </w:pPr>
      <w:r w:rsidDel="00000000" w:rsidR="00000000" w:rsidRPr="00000000">
        <w:rPr>
          <w:rFonts w:ascii="Calibri" w:cs="Calibri" w:eastAsia="Calibri" w:hAnsi="Calibri"/>
          <w:highlight w:val="yellow"/>
          <w:rtl w:val="0"/>
        </w:rPr>
        <w:t xml:space="preserve">Plánují-li příjemci začátek projektu v období říjen - prosinec 2026, zahrnou případné způsobilé náklady za rok 2026 do nákladů za rok 2027. V návaznosti na toto ustanovení příjemce nepředkládá průběžnou zprávu za rok 2026.</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4">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w:t>
      </w:r>
      <w:r w:rsidDel="00000000" w:rsidR="00000000" w:rsidRPr="00000000">
        <w:rPr>
          <w:rFonts w:ascii="Calibri" w:cs="Calibri" w:eastAsia="Calibri" w:hAnsi="Calibri"/>
          <w:highlight w:val="yellow"/>
          <w:rtl w:val="0"/>
        </w:rPr>
        <w:t xml:space="preserve">nabývá právní moci a vykonatelnosti dnem</w:t>
      </w:r>
      <w:r w:rsidDel="00000000" w:rsidR="00000000" w:rsidRPr="00000000">
        <w:rPr>
          <w:rFonts w:ascii="Calibri" w:cs="Calibri" w:eastAsia="Calibri" w:hAnsi="Calibri"/>
          <w:rtl w:val="0"/>
        </w:rPr>
        <w:t xml:space="preserve"> jeho doručení příjemci.</w:t>
      </w:r>
      <w:r w:rsidDel="00000000" w:rsidR="00000000" w:rsidRPr="00000000">
        <w:rPr>
          <w:rtl w:val="0"/>
        </w:rPr>
      </w:r>
    </w:p>
    <w:p w:rsidR="00000000" w:rsidDel="00000000" w:rsidP="00000000" w:rsidRDefault="00000000" w:rsidRPr="00000000" w14:paraId="00000045">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vydáváme na dobu určitou, a to do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6"/>
          <w:numId w:val="3"/>
        </w:numPr>
        <w:spacing w:before="0" w:line="240" w:lineRule="auto"/>
        <w:ind w:left="5040" w:firstLine="1476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9">
            <w:pPr>
              <w:spacing w:after="40" w:before="40" w:lineRule="auto"/>
              <w:rPr>
                <w:rFonts w:ascii="Calibri" w:cs="Calibri" w:eastAsia="Calibri" w:hAnsi="Calibri"/>
                <w:highlight w:val="yellow"/>
              </w:rPr>
            </w:pPr>
            <w:r w:rsidDel="00000000" w:rsidR="00000000" w:rsidRPr="00000000">
              <w:rPr>
                <w:rFonts w:ascii="Calibri" w:cs="Calibri" w:eastAsia="Calibri" w:hAnsi="Calibri"/>
                <w:rtl w:val="0"/>
              </w:rPr>
              <w:t xml:space="preserve">V Praze dne </w:t>
            </w:r>
            <w:r w:rsidDel="00000000" w:rsidR="00000000" w:rsidRPr="00000000">
              <w:rPr>
                <w:rFonts w:ascii="Calibri" w:cs="Calibri" w:eastAsia="Calibri" w:hAnsi="Calibri"/>
                <w:highlight w:val="yellow"/>
                <w:rtl w:val="0"/>
              </w:rPr>
              <w:t xml:space="preserve">DD. MM. RRRR</w:t>
            </w:r>
          </w:p>
        </w:tc>
        <w:tc>
          <w:tcPr>
            <w:tcBorders>
              <w:bottom w:color="000000" w:space="0" w:sz="4" w:val="single"/>
            </w:tcBorders>
          </w:tcPr>
          <w:p w:rsidR="00000000" w:rsidDel="00000000" w:rsidP="00000000" w:rsidRDefault="00000000" w:rsidRPr="00000000" w14:paraId="0000004A">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B">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4C">
            <w:pPr>
              <w:spacing w:after="40" w:before="40"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předseda/předsedkyně TA ČR</w:t>
            </w:r>
          </w:p>
        </w:tc>
      </w:tr>
    </w:tbl>
    <w:bookmarkStart w:colFirst="0" w:colLast="0" w:name="bookmark=id.y2fjaq1mytnb" w:id="1"/>
    <w:bookmarkEnd w:id="1"/>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rFonts w:ascii="Calibri" w:cs="Calibri" w:eastAsia="Calibri" w:hAnsi="Calibri"/>
        <w:sz w:val="16"/>
        <w:szCs w:val="16"/>
      </w:rPr>
    </w:pPr>
    <w:bookmarkStart w:colFirst="0" w:colLast="0" w:name="_heading=h.gdwuq48ky6ib" w:id="2"/>
    <w:bookmarkEnd w:id="2"/>
    <w:r w:rsidDel="00000000" w:rsidR="00000000" w:rsidRPr="00000000">
      <w:rPr>
        <w:rFonts w:ascii="Calibri" w:cs="Calibri" w:eastAsia="Calibri" w:hAnsi="Calibri"/>
        <w:sz w:val="16"/>
        <w:szCs w:val="16"/>
        <w:rtl w:val="0"/>
      </w:rPr>
      <w:t xml:space="preserve">F-353, verze 8</w:t>
      <w:tab/>
      <w:t xml:space="preserve">Strana</w:t>
    </w:r>
    <w:r w:rsidDel="00000000" w:rsidR="00000000" w:rsidRPr="00000000">
      <w:rPr>
        <w:rFonts w:ascii="Calibri" w:cs="Calibri" w:eastAsia="Calibri" w:hAnsi="Calibri"/>
        <w:b w:val="1"/>
        <w:bCs w:val="1"/>
        <w:sz w:val="16"/>
        <w:szCs w:val="16"/>
        <w:rtl w:val="0"/>
      </w:rPr>
      <w:t xml:space="preserve"> </w:t>
    </w:r>
    <w:r w:rsidDel="00000000" w:rsidR="00000000" w:rsidRPr="00000000">
      <w:rPr>
        <w:rFonts w:ascii="Calibri" w:cs="Calibri" w:eastAsia="Calibri" w:hAnsi="Calibri"/>
        <w:b w:val="1"/>
        <w:bCs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sz w:val="16"/>
        <w:szCs w:val="16"/>
        <w:rtl w:val="0"/>
      </w:rPr>
      <w:tab/>
    </w:r>
    <w:r w:rsidDel="00000000" w:rsidR="00000000" w:rsidRPr="00000000">
      <w:rPr>
        <w:rFonts w:ascii="Calibri" w:cs="Calibri" w:eastAsia="Calibri" w:hAnsi="Calibri"/>
        <w:sz w:val="16"/>
        <w:szCs w:val="16"/>
        <w:rtl w:val="0"/>
      </w:rPr>
      <w:t xml:space="preserve">Veřejný</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536"/>
        <w:tab w:val="right" w:leader="none" w:pos="9072"/>
      </w:tabs>
      <w:spacing w:before="1134" w:line="240" w:lineRule="auto"/>
      <w:jc w:val="right"/>
      <w:rPr/>
    </w:pPr>
    <w:r w:rsidDel="00000000" w:rsidR="00000000" w:rsidRPr="00000000">
      <w:rPr>
        <w:b w:val="1"/>
        <w:bCs w:val="1"/>
        <w:sz w:val="16"/>
        <w:szCs w:val="16"/>
        <w:rtl w:val="0"/>
      </w:rPr>
      <w:t xml:space="preserve">Rozhodnutí</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-892165</wp:posOffset>
          </wp:positionH>
          <wp:positionV relativeFrom="paragraph">
            <wp:posOffset>-441952</wp:posOffset>
          </wp:positionV>
          <wp:extent cx="1439545" cy="143954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p>
  <w:p w:rsidR="00000000" w:rsidDel="00000000" w:rsidP="00000000" w:rsidRDefault="00000000" w:rsidRPr="00000000" w14:paraId="00000050">
    <w:pPr>
      <w:tabs>
        <w:tab w:val="center" w:leader="none" w:pos="4536"/>
        <w:tab w:val="right" w:leader="none" w:pos="9072"/>
      </w:tabs>
      <w:spacing w:before="0" w:line="240" w:lineRule="auto"/>
      <w:jc w:val="right"/>
      <w:rPr>
        <w:b w:val="1"/>
        <w:bCs w:val="1"/>
        <w:sz w:val="16"/>
        <w:szCs w:val="16"/>
      </w:rPr>
    </w:pPr>
    <w:r w:rsidDel="00000000" w:rsidR="00000000" w:rsidRPr="00000000">
      <w:rPr>
        <w:b w:val="1"/>
        <w:bCs w:val="1"/>
        <w:sz w:val="16"/>
        <w:szCs w:val="16"/>
        <w:rtl w:val="0"/>
      </w:rPr>
      <w:t xml:space="preserve">Číslo rozhodnutí: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p w:rsidR="00000000" w:rsidDel="00000000" w:rsidP="00000000" w:rsidRDefault="00000000" w:rsidRPr="00000000" w14:paraId="00000051">
    <w:pPr>
      <w:tabs>
        <w:tab w:val="center" w:leader="none" w:pos="4536"/>
        <w:tab w:val="right" w:leader="none" w:pos="9072"/>
      </w:tabs>
      <w:spacing w:before="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360" w:firstLine="1080"/>
      </w:pPr>
      <w:rPr>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792" w:firstLine="9072"/>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5" w:hanging="425"/>
      </w:pPr>
      <w:rPr>
        <w:rFonts w:ascii="Calibri" w:cs="Calibri" w:eastAsia="Calibri" w:hAnsi="Calibri"/>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Calibri" w:cs="Calibri" w:eastAsia="Calibri" w:hAnsi="Calibri"/>
        <w:b w:val="1"/>
        <w:bCs w:val="1"/>
        <w:i w:val="0"/>
        <w:iCs w:val="0"/>
        <w:smallCaps w:val="0"/>
        <w:strike w:val="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decimal"/>
      <w:lvlText w:val="%1."/>
      <w:lvlJc w:val="left"/>
      <w:pPr>
        <w:ind w:left="360" w:hanging="360"/>
      </w:pPr>
      <w:rPr>
        <w:rFonts w:ascii="Open Sans" w:cs="Open Sans" w:eastAsia="Open Sans" w:hAnsi="Open Sans"/>
        <w:b w:val="1"/>
        <w:bCs w:val="1"/>
        <w:i w:val="0"/>
        <w:iCs w:val="0"/>
        <w:smallCaps w:val="0"/>
        <w:strike w:val="0"/>
        <w:sz w:val="20"/>
        <w:szCs w:val="2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41bbluSVU3ZlJUZC8A1AmemPQ==">CgMxLjAyDmlkLm5pZGtzdW9iMzUwMg9pZC55MmZqYXExbXl0bmIyDmguZ2R3dXE0OGt5NmliOAByITFhM0wwWEs5QkJpaldiUXhIeGJ0S1JTYWJmODZOU1lvcg==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